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370DED3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0C210552" w14:textId="061F6321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BD541F">
        <w:rPr>
          <w:b/>
          <w:bCs/>
          <w:color w:val="000000"/>
          <w:sz w:val="24"/>
          <w:szCs w:val="24"/>
          <w:shd w:val="clear" w:color="auto" w:fill="FFFFFF"/>
        </w:rPr>
        <w:t>Automatica si Calculatoare</w:t>
      </w:r>
    </w:p>
    <w:p w14:paraId="409D6F68" w14:textId="2E9AB4EC" w:rsidR="00A9257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BD541F">
        <w:rPr>
          <w:b/>
          <w:bCs/>
          <w:color w:val="000000"/>
          <w:sz w:val="24"/>
          <w:szCs w:val="24"/>
          <w:shd w:val="clear" w:color="auto" w:fill="FFFFFF"/>
        </w:rPr>
        <w:t>Automatica si Ingineria Sistemelor</w:t>
      </w:r>
    </w:p>
    <w:p w14:paraId="550FA883" w14:textId="43D476BE" w:rsidR="00411140" w:rsidRPr="00A92570" w:rsidRDefault="00A92570" w:rsidP="00A92570">
      <w:pPr>
        <w:jc w:val="center"/>
        <w:rPr>
          <w:b/>
          <w:bCs/>
          <w:sz w:val="24"/>
          <w:szCs w:val="24"/>
        </w:rPr>
      </w:pPr>
      <w:r w:rsidRPr="00A92570">
        <w:rPr>
          <w:b/>
          <w:bCs/>
          <w:sz w:val="24"/>
          <w:szCs w:val="24"/>
        </w:rPr>
        <w:t xml:space="preserve">Informații concurs post </w:t>
      </w:r>
      <w:r w:rsidR="00D12318">
        <w:rPr>
          <w:b/>
          <w:bCs/>
          <w:sz w:val="24"/>
          <w:szCs w:val="24"/>
        </w:rPr>
        <w:t>nr</w:t>
      </w:r>
      <w:r w:rsidR="00BD541F">
        <w:rPr>
          <w:b/>
          <w:bCs/>
          <w:sz w:val="24"/>
          <w:szCs w:val="24"/>
        </w:rPr>
        <w:t xml:space="preserve"> 3</w:t>
      </w:r>
      <w:r w:rsidR="00B82B12">
        <w:rPr>
          <w:b/>
          <w:bCs/>
          <w:sz w:val="24"/>
          <w:szCs w:val="24"/>
        </w:rPr>
        <w:t>2</w:t>
      </w:r>
      <w:r w:rsidRPr="00A92570">
        <w:rPr>
          <w:b/>
          <w:bCs/>
          <w:sz w:val="24"/>
          <w:szCs w:val="24"/>
        </w:rPr>
        <w:t xml:space="preserve"> </w:t>
      </w:r>
      <w:proofErr w:type="spellStart"/>
      <w:r w:rsidR="003A3E24">
        <w:rPr>
          <w:b/>
          <w:bCs/>
          <w:sz w:val="24"/>
          <w:szCs w:val="24"/>
        </w:rPr>
        <w:t>Sef</w:t>
      </w:r>
      <w:proofErr w:type="spellEnd"/>
      <w:r w:rsidR="003A3E24">
        <w:rPr>
          <w:b/>
          <w:bCs/>
          <w:sz w:val="24"/>
          <w:szCs w:val="24"/>
        </w:rPr>
        <w:t xml:space="preserve"> de </w:t>
      </w:r>
      <w:proofErr w:type="spellStart"/>
      <w:r w:rsidR="003A3E24">
        <w:rPr>
          <w:b/>
          <w:bCs/>
          <w:sz w:val="24"/>
          <w:szCs w:val="24"/>
        </w:rPr>
        <w:t>Lucrari</w:t>
      </w:r>
      <w:proofErr w:type="spellEnd"/>
      <w:r w:rsidR="003A3E24">
        <w:rPr>
          <w:b/>
          <w:bCs/>
          <w:sz w:val="24"/>
          <w:szCs w:val="24"/>
        </w:rPr>
        <w:t xml:space="preserve"> </w:t>
      </w:r>
      <w:r w:rsidRPr="00A92570">
        <w:rPr>
          <w:b/>
          <w:bCs/>
          <w:sz w:val="24"/>
          <w:szCs w:val="24"/>
        </w:rPr>
        <w:t xml:space="preserve">pe perioadă </w:t>
      </w:r>
      <w:r w:rsidR="00BD541F">
        <w:rPr>
          <w:b/>
          <w:bCs/>
          <w:sz w:val="24"/>
          <w:szCs w:val="24"/>
        </w:rPr>
        <w:t>determinata</w:t>
      </w:r>
      <w:r w:rsidRPr="00A92570">
        <w:rPr>
          <w:b/>
          <w:bCs/>
          <w:sz w:val="24"/>
          <w:szCs w:val="24"/>
        </w:rPr>
        <w:t xml:space="preserve"> 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D55AFE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326F0BDE" w14:textId="1B080894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E8ECF99" w14:textId="692712C5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4CEC704A" w14:textId="38479E40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0EF69544" w14:textId="77777777" w:rsidR="00576181" w:rsidRDefault="00576181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 xml:space="preserve">Universitatea Politehnica din </w:t>
            </w:r>
            <w:proofErr w:type="spellStart"/>
            <w:r>
              <w:rPr>
                <w:sz w:val="20"/>
              </w:rPr>
              <w:t>Bucuresti</w:t>
            </w:r>
            <w:proofErr w:type="spellEnd"/>
          </w:p>
          <w:p w14:paraId="24C9166A" w14:textId="1A7619E0" w:rsidR="00BD541F" w:rsidRPr="00BD541F" w:rsidRDefault="00BD541F" w:rsidP="00BD541F">
            <w:pPr>
              <w:pStyle w:val="TableParagraph"/>
              <w:spacing w:before="96"/>
              <w:ind w:left="21"/>
              <w:rPr>
                <w:sz w:val="20"/>
              </w:rPr>
            </w:pPr>
            <w:r w:rsidRPr="00BD541F">
              <w:rPr>
                <w:sz w:val="20"/>
              </w:rPr>
              <w:t>Automatica si Calculatoare</w:t>
            </w:r>
          </w:p>
          <w:p w14:paraId="516DA9A3" w14:textId="07B49861" w:rsidR="00BD541F" w:rsidRPr="00BD541F" w:rsidRDefault="00BD541F" w:rsidP="00BD541F">
            <w:pPr>
              <w:pStyle w:val="TableParagraph"/>
              <w:spacing w:before="96"/>
              <w:ind w:left="21"/>
              <w:rPr>
                <w:sz w:val="20"/>
              </w:rPr>
            </w:pPr>
            <w:r w:rsidRPr="00BD541F">
              <w:rPr>
                <w:sz w:val="20"/>
              </w:rPr>
              <w:t>Automatica si Ingineria Sistemelor</w:t>
            </w:r>
          </w:p>
          <w:p w14:paraId="7FAC1CAF" w14:textId="03F2A6D3" w:rsidR="00BD541F" w:rsidRDefault="00BD541F">
            <w:pPr>
              <w:pStyle w:val="TableParagraph"/>
              <w:spacing w:before="96"/>
              <w:ind w:left="21"/>
              <w:rPr>
                <w:sz w:val="20"/>
              </w:rPr>
            </w:pPr>
          </w:p>
        </w:tc>
      </w:tr>
      <w:tr w:rsidR="00FD3D7A" w14:paraId="19727071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Poziţia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funcţii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CE99E80" w14:textId="446207E7" w:rsidR="00FD3D7A" w:rsidRDefault="00BD541F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3</w:t>
            </w:r>
            <w:r w:rsidR="00B82B12">
              <w:rPr>
                <w:sz w:val="20"/>
              </w:rPr>
              <w:t>2</w:t>
            </w:r>
          </w:p>
        </w:tc>
      </w:tr>
      <w:tr w:rsidR="00FD3D7A" w14:paraId="1DAB20FB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Funcţie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1BFFF1F" w14:textId="4B7304C1" w:rsidR="00FD3D7A" w:rsidRPr="00DD1360" w:rsidRDefault="00BD541F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Sef</w:t>
            </w:r>
            <w:proofErr w:type="spellEnd"/>
            <w:r>
              <w:rPr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</w:rPr>
              <w:t>Lucrari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FD3D7A" w14:paraId="1096FD78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02F17F6B" w14:textId="77777777" w:rsidR="00BD541F" w:rsidRDefault="00B82B12" w:rsidP="008E11C2">
            <w:pPr>
              <w:pStyle w:val="TableParagraph"/>
              <w:spacing w:before="84"/>
              <w:ind w:left="30"/>
              <w:rPr>
                <w:sz w:val="20"/>
              </w:rPr>
            </w:pPr>
            <w:r>
              <w:rPr>
                <w:sz w:val="20"/>
              </w:rPr>
              <w:t>Semnale si Sisteme</w:t>
            </w:r>
          </w:p>
          <w:p w14:paraId="27F424E4" w14:textId="77777777" w:rsidR="00B82B12" w:rsidRDefault="00B82B12" w:rsidP="008E11C2">
            <w:pPr>
              <w:pStyle w:val="TableParagraph"/>
              <w:spacing w:before="84"/>
              <w:ind w:left="30"/>
              <w:rPr>
                <w:sz w:val="20"/>
              </w:rPr>
            </w:pPr>
            <w:r>
              <w:rPr>
                <w:sz w:val="20"/>
              </w:rPr>
              <w:t>Teoria Sistemelor Automate</w:t>
            </w:r>
          </w:p>
          <w:p w14:paraId="3F1E8311" w14:textId="0EE1FE68" w:rsidR="00B82B12" w:rsidRDefault="00B82B12" w:rsidP="008E11C2">
            <w:pPr>
              <w:pStyle w:val="TableParagraph"/>
              <w:spacing w:before="84"/>
              <w:ind w:left="30"/>
              <w:rPr>
                <w:sz w:val="20"/>
              </w:rPr>
            </w:pPr>
            <w:r>
              <w:rPr>
                <w:sz w:val="20"/>
              </w:rPr>
              <w:t xml:space="preserve">Reglare Robusta si </w:t>
            </w:r>
            <w:proofErr w:type="spellStart"/>
            <w:r>
              <w:rPr>
                <w:sz w:val="20"/>
              </w:rPr>
              <w:t>Aplicatii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D3D7A" w14:paraId="6CE12DE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CFA45C" w14:textId="2DA65B9F" w:rsidR="00FD3D7A" w:rsidRPr="00216EB0" w:rsidRDefault="00BD541F">
            <w:pPr>
              <w:pStyle w:val="TableParagraph"/>
              <w:spacing w:before="97"/>
              <w:ind w:left="3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Ingineria sistemelor</w:t>
            </w:r>
          </w:p>
        </w:tc>
      </w:tr>
      <w:tr w:rsidR="00FD3D7A" w14:paraId="45043101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8DA3434" w14:textId="0C29C418" w:rsidR="0057618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Activităţi</w:t>
            </w:r>
            <w:proofErr w:type="spellEnd"/>
            <w:r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39547388" w14:textId="77777777" w:rsidR="00FD1B50" w:rsidRPr="00067624" w:rsidRDefault="00FD1B50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</w:p>
          <w:p w14:paraId="3DF04141" w14:textId="3CAC340C" w:rsidR="00FD3D7A" w:rsidRPr="00225049" w:rsidRDefault="00FD1B50" w:rsidP="00225049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Predarea de cursuri si laboratoare la disciplinele din post. Cercetare </w:t>
            </w:r>
            <w:proofErr w:type="spellStart"/>
            <w:r>
              <w:rPr>
                <w:b/>
                <w:bCs/>
                <w:sz w:val="20"/>
              </w:rPr>
              <w:t>stiintifica</w:t>
            </w:r>
            <w:proofErr w:type="spellEnd"/>
            <w:r>
              <w:rPr>
                <w:b/>
                <w:bCs/>
                <w:sz w:val="20"/>
              </w:rPr>
              <w:t xml:space="preserve"> in domeniul Automaticii si Ingineriei Sistemelor. </w:t>
            </w:r>
          </w:p>
        </w:tc>
      </w:tr>
      <w:tr w:rsidR="00FD3D7A" w14:paraId="20A73489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Atributiile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activitatile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F8732B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Atribuţiile</w:t>
            </w:r>
            <w:proofErr w:type="spellEnd"/>
            <w:r w:rsidRPr="00067624">
              <w:rPr>
                <w:b/>
                <w:bCs/>
                <w:sz w:val="20"/>
              </w:rPr>
              <w:t>/</w:t>
            </w:r>
            <w:proofErr w:type="spellStart"/>
            <w:r w:rsidRPr="00067624">
              <w:rPr>
                <w:b/>
                <w:bCs/>
                <w:sz w:val="20"/>
              </w:rPr>
              <w:t>activităţile</w:t>
            </w:r>
            <w:proofErr w:type="spellEnd"/>
            <w:r w:rsidRPr="00067624">
              <w:rPr>
                <w:b/>
                <w:bCs/>
                <w:sz w:val="20"/>
              </w:rPr>
              <w:t xml:space="preserve"> aferente postului scos la concurs: </w:t>
            </w:r>
          </w:p>
          <w:p w14:paraId="07F19697" w14:textId="77777777" w:rsidR="00FD3D7A" w:rsidRDefault="00FD3D7A" w:rsidP="00D12318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</w:p>
          <w:p w14:paraId="6BB5907C" w14:textId="71D33C1C" w:rsidR="00FD1B50" w:rsidRDefault="00FD1B50" w:rsidP="00FD1B50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Predarea de cursuri si laboratoare la disciplinele din post. Cercetare </w:t>
            </w:r>
            <w:proofErr w:type="spellStart"/>
            <w:r>
              <w:rPr>
                <w:b/>
                <w:bCs/>
                <w:sz w:val="20"/>
              </w:rPr>
              <w:t>stiintifica</w:t>
            </w:r>
            <w:proofErr w:type="spellEnd"/>
            <w:r>
              <w:rPr>
                <w:b/>
                <w:bCs/>
                <w:sz w:val="20"/>
              </w:rPr>
              <w:t xml:space="preserve"> in specificul postului. Realizarea de materiale didactice pentru </w:t>
            </w:r>
            <w:proofErr w:type="spellStart"/>
            <w:r>
              <w:rPr>
                <w:b/>
                <w:bCs/>
                <w:sz w:val="20"/>
              </w:rPr>
              <w:t>sustinerea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activitatilor</w:t>
            </w:r>
            <w:proofErr w:type="spellEnd"/>
            <w:r>
              <w:rPr>
                <w:b/>
                <w:bCs/>
                <w:sz w:val="20"/>
              </w:rPr>
              <w:t xml:space="preserve"> de la curs si laborator. </w:t>
            </w:r>
            <w:proofErr w:type="spellStart"/>
            <w:r>
              <w:rPr>
                <w:b/>
                <w:bCs/>
                <w:sz w:val="20"/>
              </w:rPr>
              <w:t>Pastrarea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legaturii</w:t>
            </w:r>
            <w:proofErr w:type="spellEnd"/>
            <w:r>
              <w:rPr>
                <w:b/>
                <w:bCs/>
                <w:sz w:val="20"/>
              </w:rPr>
              <w:t xml:space="preserve"> cu </w:t>
            </w:r>
            <w:proofErr w:type="spellStart"/>
            <w:r>
              <w:rPr>
                <w:b/>
                <w:bCs/>
                <w:sz w:val="20"/>
              </w:rPr>
              <w:t>studentii</w:t>
            </w:r>
            <w:proofErr w:type="spellEnd"/>
            <w:r>
              <w:rPr>
                <w:b/>
                <w:bCs/>
                <w:sz w:val="20"/>
              </w:rPr>
              <w:t xml:space="preserve"> pe platformele </w:t>
            </w:r>
            <w:proofErr w:type="spellStart"/>
            <w:r>
              <w:rPr>
                <w:b/>
                <w:bCs/>
                <w:sz w:val="20"/>
              </w:rPr>
              <w:t>Moodle</w:t>
            </w:r>
            <w:proofErr w:type="spellEnd"/>
            <w:r>
              <w:rPr>
                <w:b/>
                <w:bCs/>
                <w:sz w:val="20"/>
              </w:rPr>
              <w:t xml:space="preserve"> si </w:t>
            </w:r>
            <w:proofErr w:type="spellStart"/>
            <w:r>
              <w:rPr>
                <w:b/>
                <w:bCs/>
                <w:sz w:val="20"/>
              </w:rPr>
              <w:t>Teams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Activitati</w:t>
            </w:r>
            <w:proofErr w:type="spellEnd"/>
            <w:r>
              <w:rPr>
                <w:b/>
                <w:bCs/>
                <w:sz w:val="20"/>
              </w:rPr>
              <w:t xml:space="preserve"> de participare in comisii de specialitate pentru </w:t>
            </w:r>
            <w:proofErr w:type="spellStart"/>
            <w:r>
              <w:rPr>
                <w:b/>
                <w:bCs/>
                <w:sz w:val="20"/>
              </w:rPr>
              <w:t>licenta</w:t>
            </w:r>
            <w:proofErr w:type="spellEnd"/>
            <w:r>
              <w:rPr>
                <w:b/>
                <w:bCs/>
                <w:sz w:val="20"/>
              </w:rPr>
              <w:t xml:space="preserve">, master, alte </w:t>
            </w:r>
            <w:proofErr w:type="spellStart"/>
            <w:r>
              <w:rPr>
                <w:b/>
                <w:bCs/>
                <w:sz w:val="20"/>
              </w:rPr>
              <w:t>activitati</w:t>
            </w:r>
            <w:proofErr w:type="spellEnd"/>
            <w:r>
              <w:rPr>
                <w:b/>
                <w:bCs/>
                <w:sz w:val="20"/>
              </w:rPr>
              <w:t xml:space="preserve"> administrative legate de procesul de predare. </w:t>
            </w:r>
          </w:p>
          <w:p w14:paraId="6663E077" w14:textId="4BBC0AA7" w:rsidR="00FD1B50" w:rsidRDefault="00FD1B50" w:rsidP="00D12318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</w:p>
        </w:tc>
      </w:tr>
      <w:tr w:rsidR="00FD3D7A" w14:paraId="0D2C7EE5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9436E3C" w14:textId="3966E8B4" w:rsidR="002445AA" w:rsidRPr="00FB454B" w:rsidRDefault="0017108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27.02.2023 – 03.03.2023</w:t>
            </w:r>
          </w:p>
        </w:tc>
      </w:tr>
      <w:tr w:rsidR="00FD3D7A" w14:paraId="3118665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FB454B">
              <w:rPr>
                <w:b/>
                <w:sz w:val="20"/>
              </w:rPr>
              <w:t>susţinerii</w:t>
            </w:r>
            <w:proofErr w:type="spellEnd"/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proofErr w:type="spellStart"/>
            <w:r w:rsidR="001C32E1" w:rsidRPr="00FB454B">
              <w:rPr>
                <w:b/>
                <w:sz w:val="20"/>
              </w:rPr>
              <w:t>susţinerii</w:t>
            </w:r>
            <w:proofErr w:type="spellEnd"/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889A2F7" w14:textId="499D58EB" w:rsidR="00FD1B50" w:rsidRPr="00067624" w:rsidRDefault="00A06F83" w:rsidP="00FD1B50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  <w:r w:rsidR="00225049">
              <w:rPr>
                <w:b/>
                <w:bCs/>
                <w:sz w:val="20"/>
              </w:rPr>
              <w:t xml:space="preserve"> </w:t>
            </w:r>
          </w:p>
          <w:p w14:paraId="3A5A07E5" w14:textId="2AEDBFEC" w:rsidR="00225049" w:rsidRDefault="00A06F83" w:rsidP="00FD1B50">
            <w:pPr>
              <w:pStyle w:val="TableParagraph"/>
              <w:spacing w:before="94"/>
              <w:ind w:left="902" w:hanging="90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FD1B50">
              <w:rPr>
                <w:sz w:val="20"/>
              </w:rPr>
              <w:t>prelegere de specialitate</w:t>
            </w:r>
            <w:r w:rsidR="00B82B12">
              <w:rPr>
                <w:sz w:val="20"/>
              </w:rPr>
              <w:t>;</w:t>
            </w:r>
          </w:p>
          <w:p w14:paraId="7DE89181" w14:textId="6B0E4F17" w:rsidR="00225049" w:rsidRDefault="00171088" w:rsidP="00FD1B50">
            <w:pPr>
              <w:pStyle w:val="TableParagraph"/>
              <w:spacing w:before="94"/>
              <w:ind w:left="902" w:hanging="900"/>
              <w:rPr>
                <w:sz w:val="20"/>
              </w:rPr>
            </w:pPr>
            <w:r>
              <w:rPr>
                <w:sz w:val="20"/>
              </w:rPr>
              <w:t>0</w:t>
            </w:r>
            <w:r w:rsidR="00A03364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A03364">
              <w:rPr>
                <w:sz w:val="20"/>
              </w:rPr>
              <w:t>03</w:t>
            </w:r>
            <w:r>
              <w:rPr>
                <w:sz w:val="20"/>
              </w:rPr>
              <w:t>.</w:t>
            </w:r>
            <w:r w:rsidR="00A03364">
              <w:rPr>
                <w:sz w:val="20"/>
              </w:rPr>
              <w:t xml:space="preserve">2023, ora 11, Precis 507. </w:t>
            </w:r>
            <w:r w:rsidR="00225049">
              <w:rPr>
                <w:sz w:val="20"/>
              </w:rPr>
              <w:t xml:space="preserve"> </w:t>
            </w:r>
          </w:p>
          <w:p w14:paraId="7B98D460" w14:textId="7D1BD9CC" w:rsidR="002700DF" w:rsidRPr="00FD1B50" w:rsidRDefault="002700DF" w:rsidP="00225049">
            <w:pPr>
              <w:pStyle w:val="TableParagraph"/>
              <w:spacing w:before="94"/>
              <w:rPr>
                <w:i/>
                <w:color w:val="FF0000"/>
                <w:sz w:val="20"/>
              </w:rPr>
            </w:pPr>
          </w:p>
        </w:tc>
      </w:tr>
      <w:tr w:rsidR="00FD3D7A" w14:paraId="152584AA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500732F9" w14:textId="5C425F7D" w:rsidR="00491056" w:rsidRDefault="00491056" w:rsidP="00FD1B50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right="589"/>
              <w:rPr>
                <w:spacing w:val="-2"/>
                <w:sz w:val="20"/>
              </w:rPr>
            </w:pPr>
            <w:r>
              <w:rPr>
                <w:sz w:val="20"/>
              </w:rPr>
              <w:t>8/03/2023</w:t>
            </w:r>
          </w:p>
          <w:p w14:paraId="0936C4B8" w14:textId="15D60EEC" w:rsidR="002445AA" w:rsidRPr="008203DC" w:rsidRDefault="00491056" w:rsidP="00FD1B50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right="589"/>
              <w:rPr>
                <w:i/>
                <w:color w:val="FF0000"/>
                <w:spacing w:val="-2"/>
                <w:sz w:val="20"/>
              </w:rPr>
            </w:pPr>
            <w:r w:rsidRPr="00132915">
              <w:rPr>
                <w:spacing w:val="-2"/>
                <w:sz w:val="20"/>
              </w:rPr>
              <w:t>Afișare la sediul Departamentului</w:t>
            </w:r>
          </w:p>
        </w:tc>
      </w:tr>
      <w:tr w:rsidR="00FD3D7A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77777777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FB454B">
              <w:rPr>
                <w:b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5F730FC" w14:textId="54BAEF5F" w:rsidR="006D11E1" w:rsidRPr="009C05E1" w:rsidRDefault="009C05E1" w:rsidP="006D11E1">
            <w:pPr>
              <w:pStyle w:val="TableParagraph"/>
              <w:rPr>
                <w:i/>
                <w:sz w:val="20"/>
              </w:rPr>
            </w:pPr>
            <w:r w:rsidRPr="009C05E1">
              <w:rPr>
                <w:i/>
                <w:sz w:val="20"/>
              </w:rPr>
              <w:t>15.03.2023 – 17.03.2023</w:t>
            </w:r>
          </w:p>
          <w:p w14:paraId="7831EB2E" w14:textId="5918CCC6" w:rsidR="002445AA" w:rsidRDefault="002445AA" w:rsidP="002445A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Exclusiv pentru nerespectarea procedurilor legale de concurs</w:t>
            </w:r>
          </w:p>
        </w:tc>
      </w:tr>
      <w:tr w:rsidR="00FD3D7A" w14:paraId="61F7B647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FD3D7A" w:rsidRDefault="00FD3D7A">
            <w:pPr>
              <w:pStyle w:val="TableParagraph"/>
              <w:rPr>
                <w:b/>
              </w:rPr>
            </w:pPr>
          </w:p>
          <w:p w14:paraId="6DAB0F70" w14:textId="77777777" w:rsidR="00FD3D7A" w:rsidRDefault="00FD3D7A">
            <w:pPr>
              <w:pStyle w:val="TableParagraph"/>
              <w:rPr>
                <w:b/>
              </w:rPr>
            </w:pPr>
          </w:p>
          <w:p w14:paraId="567C2569" w14:textId="77777777" w:rsidR="00FD3D7A" w:rsidRDefault="00FD3D7A">
            <w:pPr>
              <w:pStyle w:val="TableParagraph"/>
              <w:rPr>
                <w:b/>
              </w:rPr>
            </w:pPr>
          </w:p>
          <w:p w14:paraId="73B4125F" w14:textId="77777777" w:rsidR="00FD3D7A" w:rsidRDefault="00FD3D7A">
            <w:pPr>
              <w:pStyle w:val="TableParagraph"/>
              <w:rPr>
                <w:b/>
              </w:rPr>
            </w:pPr>
          </w:p>
          <w:p w14:paraId="5E31AF8F" w14:textId="77777777" w:rsidR="00FD3D7A" w:rsidRDefault="00FD3D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FD3D7A" w:rsidRDefault="00E274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7CE18E7D" w14:textId="77777777" w:rsidR="00030580" w:rsidRP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030580">
              <w:rPr>
                <w:sz w:val="20"/>
              </w:rPr>
              <w:t xml:space="preserve">DISCIPLINELE </w:t>
            </w:r>
          </w:p>
          <w:p w14:paraId="4D21D80C" w14:textId="77777777" w:rsidR="00030580" w:rsidRP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69E9B0C7" w14:textId="77777777" w:rsidR="00B82B12" w:rsidRDefault="00B82B12" w:rsidP="00B82B12">
            <w:pPr>
              <w:pStyle w:val="TableParagraph"/>
              <w:spacing w:before="84"/>
              <w:ind w:left="30"/>
              <w:rPr>
                <w:sz w:val="20"/>
              </w:rPr>
            </w:pPr>
            <w:r>
              <w:rPr>
                <w:sz w:val="20"/>
              </w:rPr>
              <w:t>Semnale si Sisteme</w:t>
            </w:r>
          </w:p>
          <w:p w14:paraId="452FB947" w14:textId="77777777" w:rsidR="00B82B12" w:rsidRDefault="00B82B12" w:rsidP="00B82B12">
            <w:pPr>
              <w:pStyle w:val="TableParagraph"/>
              <w:spacing w:before="84"/>
              <w:ind w:left="30"/>
              <w:rPr>
                <w:sz w:val="20"/>
              </w:rPr>
            </w:pPr>
            <w:r>
              <w:rPr>
                <w:sz w:val="20"/>
              </w:rPr>
              <w:t>Teoria Sistemelor Automate</w:t>
            </w:r>
          </w:p>
          <w:p w14:paraId="50943D12" w14:textId="52E3C3B7" w:rsidR="00FD3D7A" w:rsidRDefault="00B82B12" w:rsidP="00B82B12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 xml:space="preserve">Reglare Robusta si </w:t>
            </w:r>
            <w:proofErr w:type="spellStart"/>
            <w:r>
              <w:rPr>
                <w:sz w:val="20"/>
              </w:rPr>
              <w:t>Aplicatii</w:t>
            </w:r>
            <w:proofErr w:type="spellEnd"/>
          </w:p>
        </w:tc>
      </w:tr>
      <w:tr w:rsidR="00BE6762" w14:paraId="1403B5DF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BE6762" w:rsidRDefault="00030580">
            <w:pPr>
              <w:pStyle w:val="TableParagraph"/>
              <w:rPr>
                <w:b/>
              </w:rPr>
            </w:pPr>
            <w:r>
              <w:rPr>
                <w:b/>
              </w:rPr>
              <w:t>D</w:t>
            </w:r>
            <w:r w:rsidR="00BE6762"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8C0AE83" w14:textId="22C0ADE2" w:rsidR="00BE6762" w:rsidRPr="00BE6762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0C5D54" w:rsidRPr="000C5D54">
              <w:rPr>
                <w:sz w:val="20"/>
              </w:rPr>
              <w:t xml:space="preserve">andidatul </w:t>
            </w:r>
            <w:r w:rsidR="000C5D54">
              <w:rPr>
                <w:sz w:val="20"/>
              </w:rPr>
              <w:t xml:space="preserve">VA FI EVALUAT DE CATRE </w:t>
            </w:r>
            <w:r w:rsidR="00BE6762" w:rsidRPr="00BE6762">
              <w:rPr>
                <w:sz w:val="20"/>
              </w:rPr>
              <w:t xml:space="preserve">Comisia de concurs din perspectiva: </w:t>
            </w:r>
          </w:p>
          <w:p w14:paraId="6B9EE995" w14:textId="5FBA6C7C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a) </w:t>
            </w:r>
            <w:proofErr w:type="spellStart"/>
            <w:r w:rsidRPr="00BE6762">
              <w:rPr>
                <w:sz w:val="20"/>
              </w:rPr>
              <w:t>relevanţ</w:t>
            </w:r>
            <w:r w:rsidR="000C5D54"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impactul</w:t>
            </w:r>
            <w:r w:rsidR="000C5D54">
              <w:rPr>
                <w:sz w:val="20"/>
              </w:rPr>
              <w:t>ui</w:t>
            </w:r>
            <w:r w:rsidRPr="00BE6762">
              <w:rPr>
                <w:sz w:val="20"/>
              </w:rPr>
              <w:t xml:space="preserve"> rezultatelor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>;</w:t>
            </w:r>
          </w:p>
          <w:p w14:paraId="59099EE9" w14:textId="60785796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b) </w:t>
            </w:r>
            <w:proofErr w:type="spellStart"/>
            <w:r w:rsidRPr="00BE6762">
              <w:rPr>
                <w:sz w:val="20"/>
              </w:rPr>
              <w:t>capacitat</w:t>
            </w:r>
            <w:r w:rsidR="000C5D54">
              <w:rPr>
                <w:sz w:val="20"/>
              </w:rPr>
              <w:t>ii</w:t>
            </w:r>
            <w:proofErr w:type="spellEnd"/>
            <w:r w:rsidRPr="00BE6762">
              <w:rPr>
                <w:sz w:val="20"/>
              </w:rPr>
              <w:t xml:space="preserve"> candidatului de a îndruma </w:t>
            </w:r>
            <w:proofErr w:type="spellStart"/>
            <w:r w:rsidRPr="00BE6762">
              <w:rPr>
                <w:sz w:val="20"/>
              </w:rPr>
              <w:t>studenţi</w:t>
            </w:r>
            <w:proofErr w:type="spellEnd"/>
            <w:r w:rsidRPr="00BE6762">
              <w:rPr>
                <w:sz w:val="20"/>
              </w:rPr>
              <w:t xml:space="preserve"> sau tineri cercetători;</w:t>
            </w:r>
          </w:p>
          <w:p w14:paraId="33403EA4" w14:textId="03C4F5EE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c) </w:t>
            </w:r>
            <w:proofErr w:type="spellStart"/>
            <w:r w:rsidRPr="00BE6762">
              <w:rPr>
                <w:sz w:val="20"/>
              </w:rPr>
              <w:t>competenţe</w:t>
            </w:r>
            <w:r w:rsidR="000C5D54">
              <w:rPr>
                <w:sz w:val="20"/>
              </w:rPr>
              <w:t>i</w:t>
            </w:r>
            <w:proofErr w:type="spellEnd"/>
            <w:r w:rsidRPr="00BE6762">
              <w:rPr>
                <w:sz w:val="20"/>
              </w:rPr>
              <w:t xml:space="preserve"> didactice; </w:t>
            </w:r>
          </w:p>
          <w:p w14:paraId="590E759F" w14:textId="03BFE1D3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d) </w:t>
            </w:r>
            <w:proofErr w:type="spellStart"/>
            <w:r w:rsidRPr="00BE6762">
              <w:rPr>
                <w:sz w:val="20"/>
              </w:rPr>
              <w:t>capacitat</w:t>
            </w:r>
            <w:r w:rsidR="000C5D54">
              <w:rPr>
                <w:sz w:val="20"/>
              </w:rPr>
              <w:t>ii</w:t>
            </w:r>
            <w:proofErr w:type="spellEnd"/>
            <w:r w:rsid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transfera </w:t>
            </w:r>
            <w:proofErr w:type="spellStart"/>
            <w:r w:rsidRPr="00BE6762">
              <w:rPr>
                <w:sz w:val="20"/>
              </w:rPr>
              <w:t>cunoştinţele</w:t>
            </w:r>
            <w:proofErr w:type="spellEnd"/>
            <w:r w:rsidRPr="00BE6762">
              <w:rPr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; </w:t>
            </w:r>
          </w:p>
          <w:p w14:paraId="1D44FBFC" w14:textId="5947997E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e) </w:t>
            </w:r>
            <w:proofErr w:type="spellStart"/>
            <w:r w:rsidR="000C5D54" w:rsidRPr="000C5D54">
              <w:rPr>
                <w:sz w:val="20"/>
              </w:rPr>
              <w:t>capacitatii</w:t>
            </w:r>
            <w:proofErr w:type="spellEnd"/>
            <w:r w:rsidR="000C5D54"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lucra în echipă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eficienţa</w:t>
            </w:r>
            <w:proofErr w:type="spellEnd"/>
            <w:r w:rsidRPr="00BE6762">
              <w:rPr>
                <w:sz w:val="20"/>
              </w:rPr>
              <w:t xml:space="preserve"> colaborărilor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 ale acestuia, în </w:t>
            </w:r>
            <w:proofErr w:type="spellStart"/>
            <w:r w:rsidRPr="00BE6762">
              <w:rPr>
                <w:sz w:val="20"/>
              </w:rPr>
              <w:t>funcţie</w:t>
            </w:r>
            <w:proofErr w:type="spellEnd"/>
            <w:r w:rsidRPr="00BE6762">
              <w:rPr>
                <w:sz w:val="20"/>
              </w:rPr>
              <w:t xml:space="preserve"> de specificul domeniului;</w:t>
            </w:r>
          </w:p>
          <w:p w14:paraId="27964514" w14:textId="361B562C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f) </w:t>
            </w:r>
            <w:proofErr w:type="spellStart"/>
            <w:r w:rsidR="000C5D54" w:rsidRPr="000C5D54">
              <w:rPr>
                <w:sz w:val="20"/>
              </w:rPr>
              <w:t>capacitatii</w:t>
            </w:r>
            <w:proofErr w:type="spellEnd"/>
            <w:r w:rsidR="000C5D54"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>de a derula sau conduce proiecte de cercetare-dezvoltare;</w:t>
            </w:r>
          </w:p>
          <w:p w14:paraId="0EFDFD8D" w14:textId="51C59DFD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g) </w:t>
            </w:r>
            <w:proofErr w:type="spellStart"/>
            <w:r w:rsidRPr="00BE6762">
              <w:rPr>
                <w:sz w:val="20"/>
              </w:rPr>
              <w:t>experienţ</w:t>
            </w:r>
            <w:r w:rsidR="00B9726E"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profesională în alte </w:t>
            </w:r>
            <w:proofErr w:type="spellStart"/>
            <w:r w:rsidRPr="00BE6762">
              <w:rPr>
                <w:sz w:val="20"/>
              </w:rPr>
              <w:t>instituţii</w:t>
            </w:r>
            <w:proofErr w:type="spellEnd"/>
            <w:r w:rsidRPr="00BE6762">
              <w:rPr>
                <w:sz w:val="20"/>
              </w:rPr>
              <w:t xml:space="preserve"> decât </w:t>
            </w:r>
            <w:r w:rsidR="00B9726E">
              <w:rPr>
                <w:sz w:val="20"/>
              </w:rPr>
              <w:t>UPB</w:t>
            </w:r>
          </w:p>
          <w:p w14:paraId="47300AEF" w14:textId="77777777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08F47D8C" w14:textId="77777777" w:rsidR="00764883" w:rsidRPr="00067624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20631405" w14:textId="4A14DF66" w:rsidR="00BE6762" w:rsidRDefault="003A3E24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proba orala, prezentarea candidatului si a rezultatelor </w:t>
            </w:r>
            <w:proofErr w:type="spellStart"/>
            <w:r>
              <w:rPr>
                <w:sz w:val="20"/>
              </w:rPr>
              <w:t>stiintifice</w:t>
            </w:r>
            <w:proofErr w:type="spellEnd"/>
          </w:p>
        </w:tc>
      </w:tr>
      <w:tr w:rsidR="00BE6762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010D94D0" w:rsidR="00BE6762" w:rsidRPr="00BE6762" w:rsidRDefault="00BE6762" w:rsidP="00BE6762">
            <w:pPr>
              <w:pStyle w:val="TableParagraph"/>
              <w:rPr>
                <w:b/>
              </w:rPr>
            </w:pPr>
            <w:proofErr w:type="spellStart"/>
            <w:r w:rsidRPr="00BE6762">
              <w:rPr>
                <w:b/>
              </w:rPr>
              <w:t>candidatii</w:t>
            </w:r>
            <w:proofErr w:type="spellEnd"/>
            <w:r w:rsidRPr="00BE6762">
              <w:rPr>
                <w:b/>
              </w:rPr>
              <w:t xml:space="preserve"> trebuie sa le </w:t>
            </w:r>
            <w:proofErr w:type="spellStart"/>
            <w:r w:rsidRPr="00BE6762">
              <w:rPr>
                <w:b/>
              </w:rPr>
              <w:t>includa</w:t>
            </w:r>
            <w:proofErr w:type="spellEnd"/>
            <w:r w:rsidRPr="00BE6762">
              <w:rPr>
                <w:b/>
              </w:rPr>
              <w:t xml:space="preserve">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2082A1E" w14:textId="77777777" w:rsidR="00BE6762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D73B49" w:rsidRDefault="00000000" w:rsidP="006762D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5" w:history="1">
              <w:r w:rsidR="006762D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693BF38" w14:textId="01C4FCBA" w:rsidR="00BE6762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 w:rsidR="00B76373">
              <w:rPr>
                <w:sz w:val="20"/>
                <w:szCs w:val="20"/>
              </w:rPr>
              <w:t xml:space="preserve"> (în zilele lucrătoare)</w:t>
            </w:r>
          </w:p>
          <w:p w14:paraId="1C6CF5D3" w14:textId="138B5858" w:rsidR="0055753E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6"/>
  </w:num>
  <w:num w:numId="7" w16cid:durableId="134856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67624"/>
    <w:rsid w:val="00075F8C"/>
    <w:rsid w:val="000973F6"/>
    <w:rsid w:val="000C5D54"/>
    <w:rsid w:val="00113521"/>
    <w:rsid w:val="00171088"/>
    <w:rsid w:val="00187F15"/>
    <w:rsid w:val="001C32E1"/>
    <w:rsid w:val="00216EB0"/>
    <w:rsid w:val="00225049"/>
    <w:rsid w:val="002445AA"/>
    <w:rsid w:val="002700DF"/>
    <w:rsid w:val="00336999"/>
    <w:rsid w:val="003A3E24"/>
    <w:rsid w:val="00411140"/>
    <w:rsid w:val="00491056"/>
    <w:rsid w:val="004D1F60"/>
    <w:rsid w:val="0055753E"/>
    <w:rsid w:val="00576181"/>
    <w:rsid w:val="00587CCF"/>
    <w:rsid w:val="0061108C"/>
    <w:rsid w:val="006762D0"/>
    <w:rsid w:val="006D11E1"/>
    <w:rsid w:val="00764883"/>
    <w:rsid w:val="00780982"/>
    <w:rsid w:val="008203DC"/>
    <w:rsid w:val="008A6C83"/>
    <w:rsid w:val="008E11C2"/>
    <w:rsid w:val="009C05E1"/>
    <w:rsid w:val="00A03364"/>
    <w:rsid w:val="00A06F83"/>
    <w:rsid w:val="00A92570"/>
    <w:rsid w:val="00B76373"/>
    <w:rsid w:val="00B82B12"/>
    <w:rsid w:val="00B9726E"/>
    <w:rsid w:val="00BD541F"/>
    <w:rsid w:val="00BE6762"/>
    <w:rsid w:val="00C45A45"/>
    <w:rsid w:val="00D114F7"/>
    <w:rsid w:val="00D12318"/>
    <w:rsid w:val="00D73B49"/>
    <w:rsid w:val="00DD1360"/>
    <w:rsid w:val="00E0124D"/>
    <w:rsid w:val="00E27406"/>
    <w:rsid w:val="00FB454B"/>
    <w:rsid w:val="00FD1B50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075F8C"/>
  </w:style>
  <w:style w:type="character" w:customStyle="1" w:styleId="shdr">
    <w:name w:val="s_hdr"/>
    <w:basedOn w:val="Fontdeparagrafimplicit"/>
    <w:rsid w:val="00075F8C"/>
  </w:style>
  <w:style w:type="character" w:styleId="HyperlinkParcurs">
    <w:name w:val="FollowedHyperlink"/>
    <w:basedOn w:val="Fontdeparagrafimplici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7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rivacante.upb.ro/wp-content/uploads/2022/02/Metodologie.Concurs.UPB_.Modificata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Georgeta BABEANU (53068)</cp:lastModifiedBy>
  <cp:revision>7</cp:revision>
  <dcterms:created xsi:type="dcterms:W3CDTF">2022-12-03T06:46:00Z</dcterms:created>
  <dcterms:modified xsi:type="dcterms:W3CDTF">2023-01-17T12:12:00Z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